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4F" w:rsidRPr="000F214F" w:rsidRDefault="000F214F" w:rsidP="000F21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214F">
        <w:rPr>
          <w:rFonts w:ascii="Times New Roman" w:hAnsi="Times New Roman" w:cs="Times New Roman"/>
          <w:sz w:val="24"/>
          <w:szCs w:val="24"/>
        </w:rPr>
        <w:t>Результаты</w:t>
      </w:r>
      <w:r w:rsidRPr="000F214F">
        <w:rPr>
          <w:rFonts w:ascii="Times New Roman" w:hAnsi="Times New Roman" w:cs="Times New Roman"/>
          <w:sz w:val="24"/>
          <w:szCs w:val="24"/>
        </w:rPr>
        <w:t xml:space="preserve"> реализации национального проекта «Безопасные качественные дороги»</w:t>
      </w:r>
      <w:r w:rsidRPr="000F214F">
        <w:rPr>
          <w:rFonts w:ascii="Times New Roman" w:hAnsi="Times New Roman" w:cs="Times New Roman"/>
          <w:sz w:val="24"/>
          <w:szCs w:val="24"/>
        </w:rPr>
        <w:t>, достигнутые в 2023 году</w:t>
      </w:r>
      <w:bookmarkEnd w:id="0"/>
      <w:r w:rsidRPr="000F214F">
        <w:rPr>
          <w:rFonts w:ascii="Times New Roman" w:hAnsi="Times New Roman" w:cs="Times New Roman"/>
          <w:sz w:val="24"/>
          <w:szCs w:val="24"/>
        </w:rPr>
        <w:t>:</w:t>
      </w:r>
    </w:p>
    <w:p w:rsidR="000F214F" w:rsidRPr="000F214F" w:rsidRDefault="000F214F" w:rsidP="000F214F">
      <w:pPr>
        <w:jc w:val="center"/>
        <w:rPr>
          <w:rFonts w:ascii="Times New Roman" w:hAnsi="Times New Roman" w:cs="Times New Roman"/>
        </w:rPr>
      </w:pPr>
    </w:p>
    <w:p w:rsidR="000F214F" w:rsidRPr="000F214F" w:rsidRDefault="000F214F" w:rsidP="000F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- доля автомобильных дорог регионального значения, соответствующих нормативным требованиям увеличена на 316 км; </w:t>
      </w:r>
    </w:p>
    <w:p w:rsidR="000F214F" w:rsidRPr="000F214F" w:rsidRDefault="000F214F" w:rsidP="000F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- доля автомобильных дорог регионального значения, входящих в опорную сеть, соответствующих нормативным требованиям увеличена на 146 км; </w:t>
      </w:r>
    </w:p>
    <w:p w:rsidR="000F214F" w:rsidRPr="000F214F" w:rsidRDefault="000F214F" w:rsidP="000F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- доля дорожной сети городских агломераций, находящаяся в нормативном состоянии, составила 1 757,935 или 85,6 % нарастающим итогом; </w:t>
      </w:r>
    </w:p>
    <w:p w:rsidR="000F214F" w:rsidRPr="000F214F" w:rsidRDefault="000F214F" w:rsidP="000F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- осуществлено строительство и реконструкция автомобильных дорог регионального или межмуниципального, местного значения (накопленным итогом) 1,53 км; </w:t>
      </w:r>
    </w:p>
    <w:p w:rsidR="000F214F" w:rsidRPr="000F214F" w:rsidRDefault="000F214F" w:rsidP="000F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 xml:space="preserve">- 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 составила 1513 </w:t>
      </w:r>
      <w:proofErr w:type="spellStart"/>
      <w:proofErr w:type="gramStart"/>
      <w:r w:rsidRPr="000F214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0F214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F2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E2" w:rsidRPr="000F214F" w:rsidRDefault="000F214F" w:rsidP="000F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14F">
        <w:rPr>
          <w:rFonts w:ascii="Times New Roman" w:hAnsi="Times New Roman" w:cs="Times New Roman"/>
          <w:sz w:val="24"/>
          <w:szCs w:val="24"/>
        </w:rPr>
        <w:t>На 31 декабря 2023 года количество автоматических пунктов весогабаритного контроля транспортных средств на автомобильных дорогах достигло 7 шт.</w:t>
      </w:r>
    </w:p>
    <w:sectPr w:rsidR="00E15AE2" w:rsidRPr="000F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45AE"/>
    <w:multiLevelType w:val="hybridMultilevel"/>
    <w:tmpl w:val="BE0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F"/>
    <w:rsid w:val="000F214F"/>
    <w:rsid w:val="008C790A"/>
    <w:rsid w:val="00B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AB0D-429A-411C-9A92-A62BED3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Сергеевна Попрядухина</dc:creator>
  <cp:keywords/>
  <dc:description/>
  <cp:lastModifiedBy>Кристина Сергеевна Попрядухина</cp:lastModifiedBy>
  <cp:revision>1</cp:revision>
  <dcterms:created xsi:type="dcterms:W3CDTF">2024-04-26T05:33:00Z</dcterms:created>
  <dcterms:modified xsi:type="dcterms:W3CDTF">2024-04-26T05:34:00Z</dcterms:modified>
</cp:coreProperties>
</file>